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5C" w:rsidRDefault="005E1E82">
      <w:pPr>
        <w:pStyle w:val="20"/>
        <w:framePr w:wrap="none" w:vAnchor="page" w:hAnchor="page" w:x="967" w:y="1029"/>
        <w:shd w:val="clear" w:color="auto" w:fill="auto"/>
        <w:spacing w:after="0" w:line="280" w:lineRule="exact"/>
        <w:ind w:firstLine="740"/>
      </w:pPr>
      <w:bookmarkStart w:id="0" w:name="bookmark0"/>
      <w:r>
        <w:rPr>
          <w:rStyle w:val="21"/>
        </w:rPr>
        <w:t>Общественный Совет при ГУЗ «Ясногорская районная больница»</w:t>
      </w:r>
      <w:bookmarkEnd w:id="0"/>
    </w:p>
    <w:p w:rsidR="005D465C" w:rsidRDefault="005E1E82">
      <w:pPr>
        <w:pStyle w:val="20"/>
        <w:framePr w:w="9398" w:h="339" w:hRule="exact" w:wrap="none" w:vAnchor="page" w:hAnchor="page" w:x="967" w:y="1682"/>
        <w:shd w:val="clear" w:color="auto" w:fill="auto"/>
        <w:spacing w:after="0" w:line="280" w:lineRule="exact"/>
        <w:ind w:left="20"/>
        <w:jc w:val="center"/>
      </w:pPr>
      <w:bookmarkStart w:id="1" w:name="bookmark1"/>
      <w:r>
        <w:rPr>
          <w:rStyle w:val="21"/>
        </w:rPr>
        <w:t>Протокол</w:t>
      </w:r>
      <w:bookmarkEnd w:id="1"/>
    </w:p>
    <w:p w:rsidR="005D465C" w:rsidRDefault="005E1E82">
      <w:pPr>
        <w:pStyle w:val="30"/>
        <w:framePr w:wrap="none" w:vAnchor="page" w:hAnchor="page" w:x="967" w:y="2540"/>
        <w:shd w:val="clear" w:color="auto" w:fill="auto"/>
        <w:spacing w:before="0" w:after="0" w:line="240" w:lineRule="exact"/>
        <w:ind w:left="5" w:right="7181"/>
      </w:pPr>
      <w:r>
        <w:rPr>
          <w:rStyle w:val="31"/>
          <w:b/>
          <w:bCs/>
        </w:rPr>
        <w:t>От «</w:t>
      </w:r>
      <w:r w:rsidR="002674CA">
        <w:rPr>
          <w:rStyle w:val="31"/>
          <w:b/>
          <w:bCs/>
        </w:rPr>
        <w:t>13» июля 2022</w:t>
      </w:r>
      <w:r>
        <w:rPr>
          <w:rStyle w:val="31"/>
          <w:b/>
          <w:bCs/>
        </w:rPr>
        <w:t>г.</w:t>
      </w:r>
    </w:p>
    <w:p w:rsidR="005D465C" w:rsidRDefault="005E1E82">
      <w:pPr>
        <w:pStyle w:val="40"/>
        <w:framePr w:wrap="none" w:vAnchor="page" w:hAnchor="page" w:x="8719" w:y="2570"/>
        <w:shd w:val="clear" w:color="auto" w:fill="auto"/>
        <w:spacing w:line="220" w:lineRule="exact"/>
      </w:pPr>
      <w:r>
        <w:rPr>
          <w:rStyle w:val="41"/>
        </w:rPr>
        <w:t>№3</w:t>
      </w:r>
    </w:p>
    <w:p w:rsidR="005D465C" w:rsidRDefault="005E1E82">
      <w:pPr>
        <w:pStyle w:val="20"/>
        <w:framePr w:w="9398" w:h="342" w:hRule="exact" w:wrap="none" w:vAnchor="page" w:hAnchor="page" w:x="967" w:y="3401"/>
        <w:shd w:val="clear" w:color="auto" w:fill="auto"/>
        <w:spacing w:after="0" w:line="280" w:lineRule="exact"/>
        <w:ind w:left="20"/>
        <w:jc w:val="center"/>
      </w:pPr>
      <w:bookmarkStart w:id="2" w:name="bookmark2"/>
      <w:r>
        <w:rPr>
          <w:rStyle w:val="21"/>
        </w:rPr>
        <w:t>Повестка:</w:t>
      </w:r>
      <w:bookmarkEnd w:id="2"/>
    </w:p>
    <w:p w:rsidR="005D465C" w:rsidRDefault="005E1E82">
      <w:pPr>
        <w:pStyle w:val="10"/>
        <w:framePr w:w="9398" w:h="344" w:hRule="exact" w:wrap="none" w:vAnchor="page" w:hAnchor="page" w:x="967" w:y="4365"/>
        <w:shd w:val="clear" w:color="auto" w:fill="auto"/>
        <w:spacing w:before="0" w:after="0" w:line="280" w:lineRule="exact"/>
        <w:ind w:left="20"/>
      </w:pPr>
      <w:bookmarkStart w:id="3" w:name="bookmark3"/>
      <w:r>
        <w:rPr>
          <w:rStyle w:val="11"/>
          <w:b/>
          <w:bCs/>
        </w:rPr>
        <w:t>О диспансеризации детского и взрослого населения</w:t>
      </w:r>
      <w:bookmarkEnd w:id="3"/>
    </w:p>
    <w:p w:rsidR="005D465C" w:rsidRDefault="005E1E82">
      <w:pPr>
        <w:pStyle w:val="23"/>
        <w:framePr w:wrap="none" w:vAnchor="page" w:hAnchor="page" w:x="967" w:y="4959"/>
        <w:shd w:val="clear" w:color="auto" w:fill="auto"/>
        <w:spacing w:before="0" w:after="0" w:line="240" w:lineRule="exact"/>
      </w:pPr>
      <w:r>
        <w:rPr>
          <w:rStyle w:val="24"/>
        </w:rPr>
        <w:t>Докладчик</w:t>
      </w:r>
    </w:p>
    <w:p w:rsidR="005D465C" w:rsidRDefault="002674CA">
      <w:pPr>
        <w:pStyle w:val="23"/>
        <w:framePr w:wrap="none" w:vAnchor="page" w:hAnchor="page" w:x="967" w:y="5506"/>
        <w:shd w:val="clear" w:color="auto" w:fill="auto"/>
        <w:spacing w:before="0" w:after="0" w:line="240" w:lineRule="exact"/>
        <w:ind w:left="620"/>
        <w:jc w:val="left"/>
      </w:pPr>
      <w:r>
        <w:rPr>
          <w:rStyle w:val="25"/>
        </w:rPr>
        <w:t>Крючкова Н. И.</w:t>
      </w:r>
      <w:r w:rsidR="005E1E82">
        <w:rPr>
          <w:rStyle w:val="25"/>
        </w:rPr>
        <w:t>. - зав. поликлиникой ГУЗ «Ясногорская РБ.</w:t>
      </w:r>
    </w:p>
    <w:p w:rsidR="005D465C" w:rsidRDefault="005E1E82">
      <w:pPr>
        <w:pStyle w:val="23"/>
        <w:framePr w:w="9398" w:h="9467" w:hRule="exact" w:wrap="none" w:vAnchor="page" w:hAnchor="page" w:x="967" w:y="6175"/>
        <w:shd w:val="clear" w:color="auto" w:fill="auto"/>
        <w:spacing w:before="0" w:after="236" w:line="269" w:lineRule="exact"/>
        <w:ind w:firstLine="740"/>
      </w:pPr>
      <w:r>
        <w:rPr>
          <w:rStyle w:val="25"/>
        </w:rPr>
        <w:t>С целью выявления факторов риска заболеваний, выявления заболеваний на ранних стадиях и разработки профилактических, диагностических, лечебных и реабилитационных мероприятий проводится Диспансеризация взрослого населения.</w:t>
      </w:r>
    </w:p>
    <w:p w:rsidR="005D465C" w:rsidRDefault="005E1E82">
      <w:pPr>
        <w:pStyle w:val="23"/>
        <w:framePr w:w="9398" w:h="9467" w:hRule="exact" w:wrap="none" w:vAnchor="page" w:hAnchor="page" w:x="967" w:y="6175"/>
        <w:shd w:val="clear" w:color="auto" w:fill="auto"/>
        <w:spacing w:before="0" w:after="248" w:line="274" w:lineRule="exact"/>
        <w:ind w:firstLine="740"/>
      </w:pPr>
      <w:r>
        <w:rPr>
          <w:rStyle w:val="25"/>
        </w:rPr>
        <w:t>Порядок проведения Диспансеризации взрослого населения определен Приказом Министерства здравоохранения Российской Федерации от 3 февраля 2015 г. № Збан "Об утверждении порядка проведения диспансеризации определенных групп взрослого населения». Диспансеризация направлена на выявление и коррекцию основных факторов риска развития сердечно-сосудистых заболеваний, сахарного диабета, злокачественных новообразований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ожирение). При наличии показаний разрабатывается план и проводятся необходимые профилактические, лечебные, реабилитационные и оздоровительные мероприятия. А так же проводится краткое профилактическое консультирование, индивидуальное углубленное профилактическое консультирование, школы пациента, определяются группы диспансерного наблюдения.</w:t>
      </w:r>
    </w:p>
    <w:p w:rsidR="005D465C" w:rsidRDefault="005E1E82">
      <w:pPr>
        <w:pStyle w:val="30"/>
        <w:framePr w:w="9398" w:h="9467" w:hRule="exact" w:wrap="none" w:vAnchor="page" w:hAnchor="page" w:x="967" w:y="6175"/>
        <w:shd w:val="clear" w:color="auto" w:fill="auto"/>
        <w:spacing w:before="0" w:after="236" w:line="264" w:lineRule="exact"/>
        <w:ind w:firstLine="740"/>
      </w:pPr>
      <w:r>
        <w:rPr>
          <w:rStyle w:val="31"/>
          <w:b/>
          <w:bCs/>
        </w:rPr>
        <w:t>Диспансеризации взрослого населения подлежит все население с 21 года с периодичностью в 3 года на протяжении всей жизни.</w:t>
      </w:r>
    </w:p>
    <w:p w:rsidR="005D465C" w:rsidRDefault="005E1E82">
      <w:pPr>
        <w:pStyle w:val="23"/>
        <w:framePr w:w="9398" w:h="9467" w:hRule="exact" w:wrap="none" w:vAnchor="page" w:hAnchor="page" w:x="967" w:y="6175"/>
        <w:shd w:val="clear" w:color="auto" w:fill="auto"/>
        <w:spacing w:before="0" w:after="0" w:line="269" w:lineRule="exact"/>
      </w:pPr>
      <w:r>
        <w:rPr>
          <w:rStyle w:val="25"/>
        </w:rPr>
        <w:t>Исключение составляют граждане, которые проходят диспансеризацию ежегодно независимо от возраста:</w:t>
      </w:r>
    </w:p>
    <w:p w:rsidR="005D465C" w:rsidRDefault="005E1E82">
      <w:pPr>
        <w:pStyle w:val="23"/>
        <w:framePr w:w="9398" w:h="9467" w:hRule="exact" w:wrap="none" w:vAnchor="page" w:hAnchor="page" w:x="967" w:y="6175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274" w:lineRule="exact"/>
        <w:ind w:left="1040"/>
      </w:pPr>
      <w:r>
        <w:rPr>
          <w:rStyle w:val="25"/>
        </w:rPr>
        <w:t>инвалиды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D465C" w:rsidRDefault="005E1E82">
      <w:pPr>
        <w:pStyle w:val="23"/>
        <w:framePr w:w="9398" w:h="9467" w:hRule="exact" w:wrap="none" w:vAnchor="page" w:hAnchor="page" w:x="967" w:y="6175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274" w:lineRule="exact"/>
        <w:ind w:left="1040"/>
      </w:pPr>
      <w:r>
        <w:rPr>
          <w:rStyle w:val="25"/>
        </w:rPr>
        <w:t>лица, награжденные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5D465C" w:rsidRDefault="005E1E82">
      <w:pPr>
        <w:pStyle w:val="23"/>
        <w:framePr w:w="9398" w:h="9467" w:hRule="exact" w:wrap="none" w:vAnchor="page" w:hAnchor="page" w:x="967" w:y="6175"/>
        <w:numPr>
          <w:ilvl w:val="0"/>
          <w:numId w:val="1"/>
        </w:numPr>
        <w:shd w:val="clear" w:color="auto" w:fill="auto"/>
        <w:tabs>
          <w:tab w:val="left" w:pos="1362"/>
        </w:tabs>
        <w:spacing w:before="0" w:after="0" w:line="274" w:lineRule="exact"/>
        <w:ind w:left="1040"/>
      </w:pPr>
      <w:r>
        <w:rPr>
          <w:rStyle w:val="25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</w:t>
      </w:r>
    </w:p>
    <w:p w:rsidR="005D465C" w:rsidRDefault="005D465C">
      <w:pPr>
        <w:rPr>
          <w:sz w:val="2"/>
          <w:szCs w:val="2"/>
        </w:rPr>
        <w:sectPr w:rsidR="005D4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465C" w:rsidRDefault="005E1E82">
      <w:pPr>
        <w:pStyle w:val="23"/>
        <w:framePr w:w="9456" w:h="2612" w:hRule="exact" w:wrap="none" w:vAnchor="page" w:hAnchor="page" w:x="938" w:y="1003"/>
        <w:shd w:val="clear" w:color="auto" w:fill="auto"/>
        <w:tabs>
          <w:tab w:val="left" w:pos="1362"/>
        </w:tabs>
        <w:spacing w:before="0" w:after="248" w:line="283" w:lineRule="exact"/>
        <w:ind w:left="1040"/>
      </w:pPr>
      <w:r>
        <w:rPr>
          <w:rStyle w:val="25"/>
        </w:rPr>
        <w:lastRenderedPageBreak/>
        <w:t>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5D465C" w:rsidRDefault="005E1E82">
      <w:pPr>
        <w:pStyle w:val="23"/>
        <w:framePr w:w="9456" w:h="2612" w:hRule="exact" w:wrap="none" w:vAnchor="page" w:hAnchor="page" w:x="938" w:y="1003"/>
        <w:shd w:val="clear" w:color="auto" w:fill="auto"/>
        <w:spacing w:before="0" w:after="235" w:line="274" w:lineRule="exact"/>
        <w:ind w:firstLine="840"/>
      </w:pPr>
      <w:r>
        <w:rPr>
          <w:rStyle w:val="25"/>
        </w:rPr>
        <w:t>Диспансеризацию проводиться в поликлинике (поликлиническом отделении больницы) по месту жительства или прикрепления. Для прохождения диспансеризации необходимо обратиться в кабинет медицинской профилактики или доврачебный кабинет, к своему участковому терапевту без предварительной записи.</w:t>
      </w:r>
    </w:p>
    <w:p w:rsidR="005D465C" w:rsidRDefault="005E1E82">
      <w:pPr>
        <w:pStyle w:val="10"/>
        <w:framePr w:w="9456" w:h="2612" w:hRule="exact" w:wrap="none" w:vAnchor="page" w:hAnchor="page" w:x="938" w:y="1003"/>
        <w:shd w:val="clear" w:color="auto" w:fill="auto"/>
        <w:spacing w:before="0" w:after="0" w:line="280" w:lineRule="exact"/>
        <w:ind w:firstLine="840"/>
        <w:jc w:val="both"/>
      </w:pPr>
      <w:bookmarkStart w:id="4" w:name="bookmark4"/>
      <w:r>
        <w:rPr>
          <w:rStyle w:val="11"/>
          <w:b/>
          <w:bCs/>
        </w:rPr>
        <w:t>Результаты диспансеризации определенных групп населения</w:t>
      </w:r>
      <w:bookmarkEnd w:id="4"/>
    </w:p>
    <w:tbl>
      <w:tblPr>
        <w:tblOverlap w:val="never"/>
        <w:tblW w:w="73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1"/>
        <w:gridCol w:w="1267"/>
        <w:gridCol w:w="1296"/>
      </w:tblGrid>
      <w:tr w:rsidR="00975EEC" w:rsidTr="00975EEC">
        <w:trPr>
          <w:trHeight w:hRule="exact" w:val="581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 w:rsidP="002674CA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78" w:lineRule="exact"/>
            </w:pPr>
            <w:r>
              <w:rPr>
                <w:rStyle w:val="26"/>
              </w:rPr>
              <w:t>2021 год, факт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6"/>
              </w:rPr>
              <w:t>2022год,</w:t>
            </w:r>
          </w:p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6"/>
              </w:rPr>
              <w:t>план</w:t>
            </w:r>
          </w:p>
        </w:tc>
      </w:tr>
      <w:tr w:rsidR="00975EEC" w:rsidTr="00975EEC">
        <w:trPr>
          <w:trHeight w:hRule="exact" w:val="835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6"/>
              </w:rPr>
              <w:t>Количество граждан, прошедших диспансеризацию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5103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t>7020</w:t>
            </w:r>
          </w:p>
        </w:tc>
      </w:tr>
      <w:tr w:rsidR="00975EEC" w:rsidTr="00975EEC">
        <w:trPr>
          <w:trHeight w:hRule="exact" w:val="566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6"/>
              </w:rPr>
              <w:t>Выявлено заболеваний, всего в том числе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337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  <w:bookmarkStart w:id="5" w:name="_GoBack"/>
            <w:bookmarkEnd w:id="5"/>
          </w:p>
        </w:tc>
      </w:tr>
      <w:tr w:rsidR="00975EEC" w:rsidTr="00975EEC">
        <w:trPr>
          <w:trHeight w:hRule="exact" w:val="27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туберкулез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онкопатология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БСК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107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28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Болезни нервной системы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28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Болезни органов дыхания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53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29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Болезни органов пищеварения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</w:pPr>
            <w:r>
              <w:t>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  <w:tr w:rsidR="00975EEC" w:rsidTr="00975EEC">
        <w:trPr>
          <w:trHeight w:hRule="exact" w:val="30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EEC" w:rsidRDefault="00975EEC">
            <w:pPr>
              <w:pStyle w:val="23"/>
              <w:framePr w:w="8467" w:h="4008" w:wrap="none" w:vAnchor="page" w:hAnchor="page" w:x="938" w:y="386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6"/>
              </w:rPr>
              <w:t>Болезни костно-мышечной системы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EEC" w:rsidRDefault="00975EEC">
            <w:pPr>
              <w:framePr w:w="8467" w:h="4008" w:wrap="none" w:vAnchor="page" w:hAnchor="page" w:x="938" w:y="3860"/>
              <w:rPr>
                <w:sz w:val="10"/>
                <w:szCs w:val="10"/>
              </w:rPr>
            </w:pPr>
          </w:p>
        </w:tc>
      </w:tr>
    </w:tbl>
    <w:p w:rsidR="005D465C" w:rsidRDefault="005E1E82">
      <w:pPr>
        <w:pStyle w:val="23"/>
        <w:framePr w:wrap="none" w:vAnchor="page" w:hAnchor="page" w:x="1399" w:y="8304"/>
        <w:shd w:val="clear" w:color="auto" w:fill="auto"/>
        <w:spacing w:before="0" w:after="0" w:line="240" w:lineRule="exact"/>
        <w:jc w:val="left"/>
      </w:pPr>
      <w:r>
        <w:rPr>
          <w:rStyle w:val="25"/>
        </w:rPr>
        <w:t>Председатель</w:t>
      </w:r>
    </w:p>
    <w:p w:rsidR="005D465C" w:rsidRDefault="002674CA">
      <w:pPr>
        <w:pStyle w:val="23"/>
        <w:framePr w:wrap="none" w:vAnchor="page" w:hAnchor="page" w:x="938" w:y="8286"/>
        <w:shd w:val="clear" w:color="auto" w:fill="auto"/>
        <w:spacing w:before="0" w:after="0" w:line="240" w:lineRule="exact"/>
        <w:ind w:left="7147"/>
        <w:jc w:val="left"/>
      </w:pPr>
      <w:r>
        <w:rPr>
          <w:rStyle w:val="25"/>
        </w:rPr>
        <w:t>Бугай В. Т.</w:t>
      </w:r>
    </w:p>
    <w:p w:rsidR="005D465C" w:rsidRDefault="005D465C">
      <w:pPr>
        <w:rPr>
          <w:sz w:val="2"/>
          <w:szCs w:val="2"/>
        </w:rPr>
      </w:pPr>
    </w:p>
    <w:sectPr w:rsidR="005D46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5D" w:rsidRDefault="0014675D">
      <w:r>
        <w:separator/>
      </w:r>
    </w:p>
  </w:endnote>
  <w:endnote w:type="continuationSeparator" w:id="0">
    <w:p w:rsidR="0014675D" w:rsidRDefault="0014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5D" w:rsidRDefault="0014675D"/>
  </w:footnote>
  <w:footnote w:type="continuationSeparator" w:id="0">
    <w:p w:rsidR="0014675D" w:rsidRDefault="001467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0CA7"/>
    <w:multiLevelType w:val="multilevel"/>
    <w:tmpl w:val="4240D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C"/>
    <w:rsid w:val="0014675D"/>
    <w:rsid w:val="002674CA"/>
    <w:rsid w:val="005D465C"/>
    <w:rsid w:val="005E1E82"/>
    <w:rsid w:val="009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E33D-CD9F-4617-A35E-BEA9E5DA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ahoma" w:eastAsia="Tahoma" w:hAnsi="Tahoma" w:cs="Tahoma"/>
      <w:spacing w:val="5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2022-08-12T10:45:00Z</dcterms:created>
  <dcterms:modified xsi:type="dcterms:W3CDTF">2022-08-12T10:45:00Z</dcterms:modified>
</cp:coreProperties>
</file>